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sz w:val="28"/>
          <w:szCs w:val="28"/>
        </w:rPr>
      </w:pPr>
      <w:bookmarkStart w:colFirst="0" w:colLast="0" w:name="_k6clq6uirr15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КАРТОЧКА ОБЪЕКТА: Batys AgroHub (АБЦ)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xdzivj9c0nw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6bd96va5g6us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Информация об объекте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Наименование:</w:t>
      </w:r>
      <w:r w:rsidDel="00000000" w:rsidR="00000000" w:rsidRPr="00000000">
        <w:rPr>
          <w:rtl w:val="0"/>
        </w:rPr>
        <w:t xml:space="preserve"> Строительство производственного здания АБЦ и инфраструктурное благоустройство участка.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Местонахождение:</w:t>
      </w:r>
      <w:r w:rsidDel="00000000" w:rsidR="00000000" w:rsidRPr="00000000">
        <w:rPr>
          <w:rtl w:val="0"/>
        </w:rPr>
        <w:t xml:space="preserve"> Западно-Казахстанская область, Бурлинский район, с. Пугачево, ул. Жастар 25.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Назначение:</w:t>
      </w:r>
      <w:r w:rsidDel="00000000" w:rsidR="00000000" w:rsidRPr="00000000">
        <w:rPr>
          <w:rtl w:val="0"/>
        </w:rPr>
        <w:t xml:space="preserve"> Объект для переработки, сортировки и хранения сельскохозяйственной продукции.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wdn5tibk07g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qocyrjbt0ygr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Юридические реквизиты Заказчика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Наименование:</w:t>
      </w:r>
      <w:r w:rsidDel="00000000" w:rsidR="00000000" w:rsidRPr="00000000">
        <w:rPr>
          <w:rtl w:val="0"/>
        </w:rPr>
        <w:t xml:space="preserve"> Корпоративный фонд «Фонд Евразия Центральной Азии» (КФ ФЕЦА)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БИН:</w:t>
      </w:r>
      <w:r w:rsidDel="00000000" w:rsidR="00000000" w:rsidRPr="00000000">
        <w:rPr>
          <w:rtl w:val="0"/>
        </w:rPr>
        <w:t xml:space="preserve"> 060840011410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Кбе:</w:t>
      </w:r>
      <w:r w:rsidDel="00000000" w:rsidR="00000000" w:rsidRPr="00000000">
        <w:rPr>
          <w:rtl w:val="0"/>
        </w:rPr>
        <w:t xml:space="preserve"> 18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Юридический адрес:</w:t>
      </w:r>
      <w:r w:rsidDel="00000000" w:rsidR="00000000" w:rsidRPr="00000000">
        <w:rPr>
          <w:rtl w:val="0"/>
        </w:rPr>
        <w:t xml:space="preserve"> 050060, г. Алматы, ул. Жарокова 284/3, н.п. 74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Банковские реквизиты: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ИИК (IBAN):</w:t>
      </w:r>
      <w:r w:rsidDel="00000000" w:rsidR="00000000" w:rsidRPr="00000000">
        <w:rPr>
          <w:rtl w:val="0"/>
        </w:rPr>
        <w:t xml:space="preserve"> KZ16914002203KZ00AHZ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Банк:</w:t>
      </w:r>
      <w:r w:rsidDel="00000000" w:rsidR="00000000" w:rsidRPr="00000000">
        <w:rPr>
          <w:rtl w:val="0"/>
        </w:rPr>
        <w:t xml:space="preserve"> АО «Bereke Bank» (ДБ Lesha Bank LLC (Public)) Филиал в г. Алматы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БИК:</w:t>
      </w:r>
      <w:r w:rsidDel="00000000" w:rsidR="00000000" w:rsidRPr="00000000">
        <w:rPr>
          <w:rtl w:val="0"/>
        </w:rPr>
        <w:t xml:space="preserve"> BRKEKZKA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Руководитель:</w:t>
      </w:r>
      <w:r w:rsidDel="00000000" w:rsidR="00000000" w:rsidRPr="00000000">
        <w:rPr>
          <w:rtl w:val="0"/>
        </w:rPr>
        <w:t xml:space="preserve"> Темирбеков Ринад Сабирович (Директор)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35nthbm4nw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yobt2o3u5zb1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Контакты и порядок осмотра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Ответственные лица за осмотр: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Голиков Виктор Витальевич</w:t>
      </w:r>
      <w:r w:rsidDel="00000000" w:rsidR="00000000" w:rsidRPr="00000000">
        <w:rPr>
          <w:rtl w:val="0"/>
        </w:rPr>
        <w:t xml:space="preserve">, директор АБЦ (Аксай/Пугачево).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Ногайбаланова Салтанат Жумабековна</w:t>
      </w:r>
      <w:r w:rsidDel="00000000" w:rsidR="00000000" w:rsidRPr="00000000">
        <w:rPr>
          <w:rtl w:val="0"/>
        </w:rPr>
        <w:t xml:space="preserve">, директор проекта Batys AgroHub (Алматы).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Контактные телефоны: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+7 777 478 0948 (Голиков В.)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+7 701 722 6812 (Ногайбаланова С.)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E-mail для связи: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viktoraksay@mail.ru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saltanat@ef-ca.org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Условия посещения:</w:t>
      </w:r>
      <w:r w:rsidDel="00000000" w:rsidR="00000000" w:rsidRPr="00000000">
        <w:rPr>
          <w:rtl w:val="0"/>
        </w:rPr>
        <w:t xml:space="preserve"> Осмотр участка проводится по предварительному согласованию в даты, указанные в объявлении о конкурсе.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Важно:</w:t>
      </w:r>
      <w:r w:rsidDel="00000000" w:rsidR="00000000" w:rsidRPr="00000000">
        <w:rPr>
          <w:rtl w:val="0"/>
        </w:rPr>
        <w:t xml:space="preserve"> В ходе осмотра подрядчик обязан произвести контрольные замеры для расчета протяженности наружных сетей (теплотрасса, газ, канализация к септику).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jftvk299s8f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240" w:lineRule="auto"/>
        <w:ind w:left="720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jhpjgknh9g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Ключевые параметры для Подрядчика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Тип контракта:</w:t>
      </w:r>
      <w:r w:rsidDel="00000000" w:rsidR="00000000" w:rsidRPr="00000000">
        <w:rPr>
          <w:rtl w:val="0"/>
        </w:rPr>
        <w:t xml:space="preserve"> Подряд (строительство «под ключ», включая закуп всех материалов, оборудования сигнализации и логистику).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Особые условия:</w:t>
      </w:r>
      <w:r w:rsidDel="00000000" w:rsidR="00000000" w:rsidRPr="00000000">
        <w:rPr>
          <w:rtl w:val="0"/>
        </w:rPr>
        <w:t xml:space="preserve"> * Наличие опыта работы с газовыми сетями (подтвержденный документально).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before="0" w:lin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Наличие действующей лицензии СМР (не ниже III категории).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Срок мобилизации:</w:t>
      </w:r>
      <w:r w:rsidDel="00000000" w:rsidR="00000000" w:rsidRPr="00000000">
        <w:rPr>
          <w:rtl w:val="0"/>
        </w:rPr>
        <w:t xml:space="preserve"> Выход на объект в течение 5 рабочих дней с даты внесения авансового платежа.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Формат КП:</w:t>
      </w:r>
      <w:r w:rsidDel="00000000" w:rsidR="00000000" w:rsidRPr="00000000">
        <w:rPr>
          <w:rtl w:val="0"/>
        </w:rPr>
        <w:t xml:space="preserve"> Коммерческие предложения принимаются исключительно в формате заполненной Ведомости объемов работ (ВОР) в Excel.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